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6" w:rsidRDefault="004649AA" w:rsidP="004649AA">
      <w:pPr>
        <w:pStyle w:val="Ttulo"/>
        <w:tabs>
          <w:tab w:val="left" w:pos="142"/>
        </w:tabs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Superintendencia de Policía Científica</w:t>
      </w:r>
    </w:p>
    <w:p w:rsidR="00274056" w:rsidRDefault="009435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B3059B1" wp14:editId="48ED9EE3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l="0" t="0" r="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5" cy="389384"/>
                          <a:chOff x="2311650" y="3594575"/>
                          <a:chExt cx="6068700" cy="370850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056" w:rsidRDefault="00274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056" w:rsidRDefault="005F600A">
                                <w:pPr>
                                  <w:spacing w:before="160"/>
                                  <w:ind w:left="27" w:firstLine="27"/>
                                  <w:textDirection w:val="btLr"/>
                                </w:pPr>
                                <w:r w:rsidRPr="005F600A"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Taller de toma de impresiones dactilares. Método tradicional y digital.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2 Grupo" o:spid="_x0000_s1026" style="position:absolute;margin-left:5pt;margin-top:13pt;width:477.85pt;height:30.65pt;z-index:251658240;mso-wrap-distance-left:0;mso-wrap-distance-right:0" coordorigin="23116,35945" coordsize="60687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">
                <v:group id="1 Grupo" o:spid="_x0000_s1027" style="position:absolute;left:23116;top:35945;width:60687;height:3709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74056" w:rsidRDefault="00274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width:60686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74056" w:rsidRDefault="005F600A">
                          <w:pPr>
                            <w:spacing w:before="160"/>
                            <w:ind w:left="27" w:firstLine="27"/>
                            <w:textDirection w:val="btLr"/>
                          </w:pPr>
                          <w:r w:rsidRPr="005F600A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Taller de toma de impresiones dactilares. Método tradicional y digital.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:rsidR="00274056" w:rsidRDefault="004649AA" w:rsidP="004649AA">
      <w:pPr>
        <w:pStyle w:val="Ttulo1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943578">
        <w:rPr>
          <w:rFonts w:ascii="Arial" w:eastAsia="Arial" w:hAnsi="Arial" w:cs="Arial"/>
          <w:sz w:val="22"/>
          <w:szCs w:val="22"/>
        </w:rPr>
        <w:t>Descripción:</w:t>
      </w:r>
    </w:p>
    <w:p w:rsidR="0057540E" w:rsidRDefault="006D0D4A" w:rsidP="007D305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3" w:right="1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Pr="006D0D4A">
        <w:rPr>
          <w:rFonts w:ascii="Arial" w:eastAsia="Arial" w:hAnsi="Arial" w:cs="Arial"/>
          <w:color w:val="000000"/>
        </w:rPr>
        <w:t>a Superintendencia de Policía Científica lleva adelante las prácticas de identificación de personas y su relación con los rastros recolectados en los distintos hechos delictivos junto al aprendizaje de nuevas tecnologías en el área, permitiendo lograr eficacia en los resultados.</w:t>
      </w:r>
      <w:r>
        <w:rPr>
          <w:rFonts w:ascii="Arial" w:eastAsia="Arial" w:hAnsi="Arial" w:cs="Arial"/>
          <w:color w:val="000000"/>
        </w:rPr>
        <w:t xml:space="preserve">  </w:t>
      </w:r>
      <w:r w:rsidRPr="006D0D4A">
        <w:rPr>
          <w:rFonts w:ascii="Arial" w:eastAsia="Arial" w:hAnsi="Arial" w:cs="Arial"/>
          <w:color w:val="000000"/>
        </w:rPr>
        <w:t>De esta manera, podemos deducir la importancia invaluable que representa la toma de impresiones digitales, además de dar el primer paso como auxiliar de la Justicia</w:t>
      </w:r>
      <w:r w:rsidR="0029626B">
        <w:rPr>
          <w:rFonts w:ascii="Arial" w:eastAsia="Arial" w:hAnsi="Arial" w:cs="Arial"/>
          <w:color w:val="000000"/>
        </w:rPr>
        <w:t>.</w:t>
      </w:r>
    </w:p>
    <w:p w:rsidR="0029626B" w:rsidRDefault="0029626B" w:rsidP="007D305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3" w:right="135"/>
        <w:jc w:val="both"/>
        <w:rPr>
          <w:rFonts w:ascii="Arial" w:eastAsia="Arial" w:hAnsi="Arial" w:cs="Arial"/>
          <w:color w:val="000000"/>
        </w:rPr>
      </w:pPr>
    </w:p>
    <w:p w:rsidR="00274056" w:rsidRDefault="00943578" w:rsidP="004649AA">
      <w:pPr>
        <w:pStyle w:val="Ttulo1"/>
        <w:spacing w:before="1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:rsidR="006D0D4A" w:rsidRDefault="006D0D4A" w:rsidP="006D0D4A">
      <w:pPr>
        <w:spacing w:line="360" w:lineRule="auto"/>
        <w:ind w:left="143"/>
        <w:rPr>
          <w:rFonts w:ascii="Arial" w:eastAsia="Arial" w:hAnsi="Arial" w:cs="Arial"/>
          <w:color w:val="000000"/>
          <w:lang w:val="es-AR"/>
        </w:rPr>
      </w:pPr>
      <w:r w:rsidRPr="006D0D4A">
        <w:rPr>
          <w:rFonts w:ascii="Arial" w:eastAsia="Arial" w:hAnsi="Arial" w:cs="Arial"/>
          <w:color w:val="000000"/>
          <w:lang w:val="es-AR"/>
        </w:rPr>
        <w:t xml:space="preserve">Personal policial de la Superintendencia de Policía Científica del Ministerio de Seguridad </w:t>
      </w:r>
      <w:r>
        <w:rPr>
          <w:rFonts w:ascii="Arial" w:eastAsia="Arial" w:hAnsi="Arial" w:cs="Arial"/>
          <w:color w:val="000000"/>
          <w:lang w:val="es-AR"/>
        </w:rPr>
        <w:t xml:space="preserve">de la provincia de Buenos Aires; </w:t>
      </w:r>
      <w:r w:rsidRPr="006D0D4A">
        <w:rPr>
          <w:rFonts w:ascii="Arial" w:eastAsia="Arial" w:hAnsi="Arial" w:cs="Arial"/>
          <w:color w:val="000000"/>
          <w:lang w:val="es-AR"/>
        </w:rPr>
        <w:t>orientado a personal de las morgues, sin distinción de escalafón ni jerarquía.</w:t>
      </w:r>
    </w:p>
    <w:p w:rsidR="006D0D4A" w:rsidRDefault="006D0D4A" w:rsidP="006D0D4A">
      <w:pPr>
        <w:spacing w:line="360" w:lineRule="auto"/>
        <w:ind w:left="143"/>
        <w:rPr>
          <w:rFonts w:ascii="Arial" w:eastAsia="Arial" w:hAnsi="Arial" w:cs="Arial"/>
          <w:color w:val="000000"/>
          <w:lang w:val="es-AR"/>
        </w:rPr>
      </w:pPr>
    </w:p>
    <w:p w:rsidR="0029626B" w:rsidRPr="006D0D4A" w:rsidRDefault="0029626B" w:rsidP="006D0D4A">
      <w:pPr>
        <w:spacing w:line="360" w:lineRule="auto"/>
        <w:ind w:left="143"/>
        <w:rPr>
          <w:rFonts w:ascii="Arial" w:eastAsia="Arial" w:hAnsi="Arial" w:cs="Arial"/>
          <w:color w:val="000000"/>
          <w:lang w:val="es-AR"/>
        </w:rPr>
      </w:pPr>
      <w:bookmarkStart w:id="0" w:name="_GoBack"/>
      <w:bookmarkEnd w:id="0"/>
    </w:p>
    <w:p w:rsidR="00274056" w:rsidRDefault="00943578" w:rsidP="0029626B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6D0D4A">
        <w:rPr>
          <w:rFonts w:ascii="Arial" w:eastAsia="Arial" w:hAnsi="Arial" w:cs="Arial"/>
        </w:rPr>
        <w:t>presencial.</w:t>
      </w:r>
    </w:p>
    <w:p w:rsidR="0029626B" w:rsidRPr="0029626B" w:rsidRDefault="0029626B" w:rsidP="0029626B">
      <w:pPr>
        <w:spacing w:line="360" w:lineRule="auto"/>
        <w:ind w:left="143"/>
        <w:rPr>
          <w:rFonts w:ascii="Arial" w:eastAsia="Arial" w:hAnsi="Arial" w:cs="Arial"/>
        </w:rPr>
      </w:pPr>
    </w:p>
    <w:p w:rsidR="00274056" w:rsidRDefault="00943578" w:rsidP="006D0D4A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Carga horaria: </w:t>
      </w:r>
      <w:r w:rsidR="006D0D4A">
        <w:rPr>
          <w:rFonts w:ascii="Arial" w:eastAsia="Arial" w:hAnsi="Arial" w:cs="Arial"/>
        </w:rPr>
        <w:t>12</w:t>
      </w:r>
      <w:r w:rsidR="00A350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horas reloj.</w:t>
      </w:r>
    </w:p>
    <w:p w:rsidR="006D0D4A" w:rsidRPr="006D0D4A" w:rsidRDefault="006D0D4A" w:rsidP="006D0D4A">
      <w:pPr>
        <w:spacing w:line="360" w:lineRule="auto"/>
        <w:ind w:left="143"/>
        <w:rPr>
          <w:rFonts w:ascii="Arial" w:eastAsia="Arial" w:hAnsi="Arial" w:cs="Arial"/>
        </w:rPr>
      </w:pPr>
    </w:p>
    <w:p w:rsidR="00274056" w:rsidRPr="00E645D2" w:rsidRDefault="00943578" w:rsidP="004649AA">
      <w:pPr>
        <w:pStyle w:val="Ttulo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6D0D4A">
        <w:rPr>
          <w:rFonts w:ascii="Arial" w:eastAsia="Arial" w:hAnsi="Arial" w:cs="Arial"/>
          <w:b w:val="0"/>
          <w:sz w:val="22"/>
          <w:szCs w:val="22"/>
        </w:rPr>
        <w:t xml:space="preserve">2 </w:t>
      </w:r>
    </w:p>
    <w:p w:rsidR="006D0D4A" w:rsidRDefault="006D0D4A" w:rsidP="006D0D4A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0" w:firstLine="0"/>
        <w:contextualSpacing/>
        <w:jc w:val="both"/>
        <w:rPr>
          <w:rFonts w:ascii="Arial" w:eastAsia="Arial" w:hAnsi="Arial" w:cs="Arial"/>
          <w:color w:val="000000"/>
        </w:rPr>
      </w:pPr>
    </w:p>
    <w:p w:rsidR="006D0D4A" w:rsidRPr="006D0D4A" w:rsidRDefault="00943578" w:rsidP="006D0D4A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142" w:firstLine="0"/>
        <w:contextualSpacing/>
        <w:jc w:val="both"/>
        <w:rPr>
          <w:rFonts w:ascii="Arial" w:eastAsia="Arial" w:hAnsi="Arial" w:cs="Arial"/>
          <w:lang w:val="es-AR"/>
        </w:rPr>
      </w:pPr>
      <w:r w:rsidRPr="006D0D4A">
        <w:rPr>
          <w:rFonts w:ascii="Arial" w:eastAsia="Arial" w:hAnsi="Arial" w:cs="Arial"/>
          <w:b/>
        </w:rPr>
        <w:t xml:space="preserve">Fecha de inicio y finalización: </w:t>
      </w:r>
      <w:r w:rsidR="006D0D4A" w:rsidRPr="006D0D4A">
        <w:rPr>
          <w:rFonts w:ascii="Arial" w:eastAsia="Arial" w:hAnsi="Arial" w:cs="Arial"/>
          <w:lang w:val="es-AR" w:eastAsia="es-AR"/>
        </w:rPr>
        <w:t>Primera edición: segunda semana de mayo.</w:t>
      </w:r>
      <w:r w:rsidR="006D0D4A" w:rsidRPr="006D0D4A">
        <w:t xml:space="preserve"> </w:t>
      </w:r>
      <w:r w:rsidR="006D0D4A">
        <w:t xml:space="preserve"> </w:t>
      </w:r>
      <w:r w:rsidR="006D0D4A" w:rsidRPr="006D0D4A">
        <w:rPr>
          <w:rFonts w:ascii="Arial" w:eastAsia="Arial" w:hAnsi="Arial" w:cs="Arial"/>
          <w:lang w:val="es-AR"/>
        </w:rPr>
        <w:t xml:space="preserve">Segunda </w:t>
      </w:r>
      <w:r w:rsidR="006D0D4A">
        <w:rPr>
          <w:rFonts w:ascii="Arial" w:eastAsia="Arial" w:hAnsi="Arial" w:cs="Arial"/>
          <w:lang w:val="es-AR"/>
        </w:rPr>
        <w:t xml:space="preserve">      </w:t>
      </w:r>
      <w:r w:rsidR="006D0D4A" w:rsidRPr="006D0D4A">
        <w:rPr>
          <w:rFonts w:ascii="Arial" w:eastAsia="Arial" w:hAnsi="Arial" w:cs="Arial"/>
          <w:lang w:val="es-AR"/>
        </w:rPr>
        <w:t>edición: segunda semana de septiembre.</w:t>
      </w:r>
    </w:p>
    <w:p w:rsidR="006D0D4A" w:rsidRDefault="006D0D4A" w:rsidP="006D0D4A">
      <w:pPr>
        <w:rPr>
          <w:rFonts w:ascii="Arial" w:eastAsia="Arial" w:hAnsi="Arial" w:cs="Arial"/>
          <w:lang w:val="es-AR" w:eastAsia="es-AR"/>
        </w:rPr>
      </w:pPr>
    </w:p>
    <w:p w:rsidR="00274056" w:rsidRPr="006D0D4A" w:rsidRDefault="006D0D4A" w:rsidP="006D0D4A">
      <w:pPr>
        <w:ind w:left="360"/>
        <w:rPr>
          <w:rFonts w:ascii="Arial" w:eastAsia="Arial" w:hAnsi="Arial" w:cs="Arial"/>
          <w:lang w:val="es-AR" w:eastAsia="es-AR"/>
        </w:rPr>
      </w:pPr>
      <w:r>
        <w:rPr>
          <w:rFonts w:ascii="Arial" w:eastAsia="Arial" w:hAnsi="Arial" w:cs="Arial"/>
          <w:b/>
        </w:rPr>
        <w:t xml:space="preserve">                                          </w:t>
      </w: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Cupo: </w:t>
      </w:r>
      <w:r w:rsidR="006D0D4A">
        <w:rPr>
          <w:rFonts w:ascii="Arial" w:eastAsia="Arial" w:hAnsi="Arial" w:cs="Arial"/>
        </w:rPr>
        <w:t>2</w:t>
      </w:r>
      <w:r w:rsidR="00E645D2">
        <w:rPr>
          <w:rFonts w:ascii="Arial" w:eastAsia="Arial" w:hAnsi="Arial" w:cs="Arial"/>
        </w:rPr>
        <w:t>0 por edición.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pStyle w:val="Ttulo1"/>
        <w:spacing w:line="360" w:lineRule="auto"/>
        <w:ind w:left="1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Correo electrónico: </w:t>
      </w:r>
      <w:r w:rsidR="004649AA" w:rsidRPr="004649AA">
        <w:rPr>
          <w:rFonts w:ascii="Arial" w:eastAsia="Arial" w:hAnsi="Arial" w:cs="Arial"/>
          <w:color w:val="000000"/>
        </w:rPr>
        <w:t>cursospacspc@gmail.com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42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</w:t>
      </w:r>
      <w:r w:rsidR="004649AA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4649AA" w:rsidRPr="004649AA">
        <w:rPr>
          <w:rFonts w:ascii="Arial" w:eastAsia="Arial" w:hAnsi="Arial" w:cs="Arial"/>
          <w:color w:val="000000"/>
        </w:rPr>
        <w:t>(0221) 423-4037</w:t>
      </w:r>
      <w:r>
        <w:rPr>
          <w:rFonts w:ascii="Arial" w:eastAsia="Arial" w:hAnsi="Arial" w:cs="Arial"/>
          <w:color w:val="000000"/>
        </w:rPr>
        <w:t>.</w:t>
      </w:r>
    </w:p>
    <w:sectPr w:rsidR="00274056" w:rsidSect="004649AA">
      <w:pgSz w:w="11910" w:h="16840"/>
      <w:pgMar w:top="1418" w:right="1134" w:bottom="1418" w:left="1418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AB6"/>
    <w:multiLevelType w:val="hybridMultilevel"/>
    <w:tmpl w:val="6B60E1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F530F40"/>
    <w:multiLevelType w:val="multilevel"/>
    <w:tmpl w:val="56ECEC14"/>
    <w:lvl w:ilvl="0"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4056"/>
    <w:rsid w:val="00274056"/>
    <w:rsid w:val="0029626B"/>
    <w:rsid w:val="0030756A"/>
    <w:rsid w:val="004649AA"/>
    <w:rsid w:val="004C6F90"/>
    <w:rsid w:val="0057540E"/>
    <w:rsid w:val="005F600A"/>
    <w:rsid w:val="006D0D4A"/>
    <w:rsid w:val="007D3054"/>
    <w:rsid w:val="00860AC7"/>
    <w:rsid w:val="00943578"/>
    <w:rsid w:val="00A350B6"/>
    <w:rsid w:val="00AF564D"/>
    <w:rsid w:val="00CD6A10"/>
    <w:rsid w:val="00D93559"/>
    <w:rsid w:val="00E645D2"/>
    <w:rsid w:val="00EE538E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Carlos Gastón Ochoa</cp:lastModifiedBy>
  <cp:revision>3</cp:revision>
  <dcterms:created xsi:type="dcterms:W3CDTF">2025-04-29T17:18:00Z</dcterms:created>
  <dcterms:modified xsi:type="dcterms:W3CDTF">2025-04-29T17:29:00Z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